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1821353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2017-12-05T11:52:00Z</dcterms:created>
  <dc:creator>regione emilia-romagna</dc:creator>
  <dc:description/>
  <dc:language>it-IT</dc:language>
  <cp:lastModifiedBy>Assistenza Tecnica</cp:lastModifiedBy>
  <dcterms:modified xsi:type="dcterms:W3CDTF">2017-12-05T11:52:00Z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